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8A66" w14:textId="69E77EA7" w:rsidR="007005BC" w:rsidRDefault="008253C3" w:rsidP="007005BC">
      <w:pPr>
        <w:pStyle w:val="Heading1"/>
        <w:rPr>
          <w:rFonts w:eastAsia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1808E" wp14:editId="0C02A896">
                <wp:simplePos x="0" y="0"/>
                <wp:positionH relativeFrom="column">
                  <wp:posOffset>203835</wp:posOffset>
                </wp:positionH>
                <wp:positionV relativeFrom="paragraph">
                  <wp:posOffset>1018540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07401" w14:textId="0A3DE5CD" w:rsidR="008253C3" w:rsidRDefault="00796161" w:rsidP="006842A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Communications messages</w:t>
                            </w:r>
                            <w:r w:rsidR="008253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: </w:t>
                            </w:r>
                            <w:r w:rsidR="007976B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Government response to </w:t>
                            </w:r>
                            <w:r w:rsidR="00D737A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the </w:t>
                            </w:r>
                            <w:r w:rsidR="007976B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Shaw reports</w:t>
                            </w:r>
                          </w:p>
                          <w:p w14:paraId="03A5A100" w14:textId="2C15225B" w:rsidR="00796161" w:rsidRPr="00796161" w:rsidRDefault="00796161" w:rsidP="006842A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96161">
                              <w:rPr>
                                <w:rFonts w:ascii="Arial" w:hAnsi="Arial" w:cs="Arial"/>
                                <w:lang w:eastAsia="en-GB"/>
                              </w:rPr>
                              <w:t>September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18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05pt;margin-top:80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F2t9hnhAAAADwEAAA8AAABkcnMvZG93bnJldi54bWxM&#13;&#10;T01PwzAMvSPxHyIjcWPpujJG13RCm7hx2Jc4Z41pC4lTNdnW8usxJ7hY8vPz+yhWg7Pign1oPSmY&#13;&#10;ThIQSJU3LdUKjofXhwWIEDUZbT2hghEDrMrbm0Lnxl9ph5d9rAWLUMi1gibGLpcyVA06HSa+Q+Lb&#13;&#10;h++djrz2tTS9vrK4szJNkrl0uiV2aHSH6warr/3ZKTDj43o09tscP9+fnrfeHLZvYaPU/d2wWfJ4&#13;&#10;WYKIOMS/D/jtwPmh5GAnfyYThFUwS6fMZHyeZCCYMEsTRk4KsmyRgSwL+b9H+QMAAP//AwBQSwEC&#13;&#10;LQAUAAYACAAAACEAtoM4kv4AAADhAQAAEwAAAAAAAAAAAAAAAAAAAAAAW0NvbnRlbnRfVHlwZXNd&#13;&#10;LnhtbFBLAQItABQABgAIAAAAIQA4/SH/1gAAAJQBAAALAAAAAAAAAAAAAAAAAC8BAABfcmVscy8u&#13;&#10;cmVsc1BLAQItABQABgAIAAAAIQDygE0qJQIAAFMEAAAOAAAAAAAAAAAAAAAAAC4CAABkcnMvZTJv&#13;&#10;RG9jLnhtbFBLAQItABQABgAIAAAAIQBdrfYZ4QAAAA8BAAAPAAAAAAAAAAAAAAAAAH8EAABkcnMv&#13;&#10;ZG93bnJldi54bWxQSwUGAAAAAAQABADzAAAAjQUAAAAA&#13;&#10;" filled="f" strokeweight=".5pt">
                <v:textbox style="mso-fit-shape-to-text:t">
                  <w:txbxContent>
                    <w:p w14:paraId="62607401" w14:textId="0A3DE5CD" w:rsidR="008253C3" w:rsidRDefault="00796161" w:rsidP="006842A8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Communications messages</w:t>
                      </w:r>
                      <w:r w:rsidR="008253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: </w:t>
                      </w:r>
                      <w:r w:rsidR="007976B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Government response to </w:t>
                      </w:r>
                      <w:r w:rsidR="00D737A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the </w:t>
                      </w:r>
                      <w:r w:rsidR="007976B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Shaw reports</w:t>
                      </w:r>
                    </w:p>
                    <w:p w14:paraId="03A5A100" w14:textId="2C15225B" w:rsidR="00796161" w:rsidRPr="00796161" w:rsidRDefault="00796161" w:rsidP="006842A8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 w:rsidRPr="00796161">
                        <w:rPr>
                          <w:rFonts w:ascii="Arial" w:hAnsi="Arial" w:cs="Arial"/>
                          <w:lang w:eastAsia="en-GB"/>
                        </w:rPr>
                        <w:t>September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A76" w:rsidRPr="00994A8B">
        <w:rPr>
          <w:rFonts w:eastAsia="Times New Roman"/>
          <w:lang w:eastAsia="en-GB"/>
        </w:rPr>
        <w:fldChar w:fldCharType="begin"/>
      </w:r>
      <w:r w:rsidR="00E54A76" w:rsidRPr="00994A8B">
        <w:rPr>
          <w:rFonts w:eastAsia="Times New Roman"/>
          <w:lang w:eastAsia="en-GB"/>
        </w:rPr>
        <w:instrText xml:space="preserve"> INCLUDEPICTURE "/var/folders/85/m3htrpl527l3g4mvfv66vqp40000gn/T/com.microsoft.Word/WebArchiveCopyPasteTempFiles/page1image33450352" \* MERGEFORMATINET </w:instrText>
      </w:r>
      <w:r w:rsidR="00E54A76" w:rsidRPr="00994A8B">
        <w:rPr>
          <w:rFonts w:eastAsia="Times New Roman"/>
          <w:lang w:eastAsia="en-GB"/>
        </w:rPr>
        <w:fldChar w:fldCharType="separate"/>
      </w:r>
      <w:r w:rsidR="00E54A76" w:rsidRPr="00994A8B">
        <w:rPr>
          <w:rFonts w:eastAsia="Times New Roman"/>
          <w:noProof/>
          <w:lang w:eastAsia="en-GB"/>
        </w:rPr>
        <w:drawing>
          <wp:inline distT="0" distB="0" distL="0" distR="0" wp14:anchorId="22C8ECA2" wp14:editId="112AC012">
            <wp:extent cx="2616835" cy="864870"/>
            <wp:effectExtent l="0" t="0" r="0" b="0"/>
            <wp:docPr id="1" name="Picture 1" descr="page1image3345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34503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A76" w:rsidRPr="00994A8B">
        <w:rPr>
          <w:rFonts w:eastAsia="Times New Roman"/>
          <w:lang w:eastAsia="en-GB"/>
        </w:rPr>
        <w:fldChar w:fldCharType="end"/>
      </w:r>
    </w:p>
    <w:p w14:paraId="52A70C30" w14:textId="296384B9" w:rsidR="00302841" w:rsidRPr="008253C3" w:rsidRDefault="00302841" w:rsidP="008253C3">
      <w:pPr>
        <w:pStyle w:val="NoSpacing"/>
        <w:rPr>
          <w:rFonts w:ascii="Arial" w:hAnsi="Arial" w:cs="Arial"/>
          <w:b/>
          <w:bCs/>
          <w:lang w:eastAsia="en-GB"/>
        </w:rPr>
      </w:pPr>
    </w:p>
    <w:p w14:paraId="156EC5A1" w14:textId="77777777" w:rsidR="008253C3" w:rsidRDefault="008253C3" w:rsidP="007005BC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</w:p>
    <w:p w14:paraId="600D1194" w14:textId="63C8674D" w:rsidR="00213564" w:rsidRDefault="004041F0" w:rsidP="00213564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Sir </w:t>
      </w:r>
      <w:r w:rsidR="00213564" w:rsidRPr="00213564">
        <w:rPr>
          <w:rFonts w:ascii="Arial" w:hAnsi="Arial" w:cs="Arial"/>
          <w:lang w:eastAsia="en-GB"/>
        </w:rPr>
        <w:t xml:space="preserve">Stephen Shaw </w:t>
      </w:r>
      <w:r w:rsidR="004F29A4">
        <w:rPr>
          <w:rFonts w:ascii="Arial" w:hAnsi="Arial" w:cs="Arial"/>
          <w:lang w:eastAsia="en-GB"/>
        </w:rPr>
        <w:t xml:space="preserve">conducted two </w:t>
      </w:r>
      <w:r w:rsidR="00213564" w:rsidRPr="00213564">
        <w:rPr>
          <w:rFonts w:ascii="Arial" w:hAnsi="Arial" w:cs="Arial"/>
          <w:lang w:eastAsia="en-GB"/>
        </w:rPr>
        <w:t>reviews of the welfare in detention of vulnerable persons in 2016 and 2018</w:t>
      </w:r>
      <w:r w:rsidR="004F29A4">
        <w:rPr>
          <w:rFonts w:ascii="Arial" w:hAnsi="Arial" w:cs="Arial"/>
          <w:lang w:eastAsia="en-GB"/>
        </w:rPr>
        <w:t>. We are interested particularly in</w:t>
      </w:r>
      <w:r w:rsidR="00213564">
        <w:rPr>
          <w:rFonts w:ascii="Arial" w:hAnsi="Arial" w:cs="Arial"/>
          <w:lang w:eastAsia="en-GB"/>
        </w:rPr>
        <w:t xml:space="preserve"> two elements of the Government’s response to this review: </w:t>
      </w:r>
      <w:r w:rsidR="00213564" w:rsidRPr="0026185F">
        <w:rPr>
          <w:rFonts w:ascii="Arial" w:hAnsi="Arial" w:cs="Arial"/>
          <w:b/>
          <w:bCs/>
          <w:lang w:eastAsia="en-GB"/>
        </w:rPr>
        <w:t xml:space="preserve">the Detention Gatekeeper </w:t>
      </w:r>
      <w:r w:rsidR="00D60013" w:rsidRPr="0026185F">
        <w:rPr>
          <w:rFonts w:ascii="Arial" w:hAnsi="Arial" w:cs="Arial"/>
          <w:b/>
          <w:bCs/>
          <w:lang w:eastAsia="en-GB"/>
        </w:rPr>
        <w:t>(D</w:t>
      </w:r>
      <w:r w:rsidR="006B583B" w:rsidRPr="0026185F">
        <w:rPr>
          <w:rFonts w:ascii="Arial" w:hAnsi="Arial" w:cs="Arial"/>
          <w:b/>
          <w:bCs/>
          <w:lang w:eastAsia="en-GB"/>
        </w:rPr>
        <w:t>G</w:t>
      </w:r>
      <w:r w:rsidR="00D60013" w:rsidRPr="0026185F">
        <w:rPr>
          <w:rFonts w:ascii="Arial" w:hAnsi="Arial" w:cs="Arial"/>
          <w:b/>
          <w:bCs/>
          <w:lang w:eastAsia="en-GB"/>
        </w:rPr>
        <w:t>K)</w:t>
      </w:r>
      <w:r w:rsidR="00213564">
        <w:rPr>
          <w:rFonts w:ascii="Arial" w:hAnsi="Arial" w:cs="Arial"/>
          <w:lang w:eastAsia="en-GB"/>
        </w:rPr>
        <w:t xml:space="preserve"> and </w:t>
      </w:r>
      <w:r w:rsidR="00213564" w:rsidRPr="0026185F">
        <w:rPr>
          <w:rFonts w:ascii="Arial" w:hAnsi="Arial" w:cs="Arial"/>
          <w:b/>
          <w:bCs/>
          <w:lang w:eastAsia="en-GB"/>
        </w:rPr>
        <w:t>Case Progression Panels</w:t>
      </w:r>
      <w:r w:rsidR="00D60013" w:rsidRPr="0026185F">
        <w:rPr>
          <w:rFonts w:ascii="Arial" w:hAnsi="Arial" w:cs="Arial"/>
          <w:b/>
          <w:bCs/>
          <w:lang w:eastAsia="en-GB"/>
        </w:rPr>
        <w:t xml:space="preserve"> (CPP)</w:t>
      </w:r>
      <w:r w:rsidR="00D60013">
        <w:rPr>
          <w:rFonts w:ascii="Arial" w:hAnsi="Arial" w:cs="Arial"/>
          <w:lang w:eastAsia="en-GB"/>
        </w:rPr>
        <w:t>.</w:t>
      </w:r>
    </w:p>
    <w:p w14:paraId="1C03E318" w14:textId="5C2BD3AD" w:rsidR="00D60013" w:rsidRDefault="00D60013" w:rsidP="00213564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</w:p>
    <w:p w14:paraId="18648A63" w14:textId="298197A2" w:rsidR="00D60013" w:rsidRPr="00B845AD" w:rsidRDefault="00471273" w:rsidP="00213564">
      <w:pPr>
        <w:pStyle w:val="NoSpacing"/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  <w:r w:rsidRPr="00B845AD">
        <w:rPr>
          <w:rFonts w:ascii="Arial" w:hAnsi="Arial" w:cs="Arial"/>
          <w:b/>
          <w:bCs/>
          <w:sz w:val="28"/>
          <w:szCs w:val="28"/>
          <w:lang w:eastAsia="en-GB"/>
        </w:rPr>
        <w:t xml:space="preserve">1. </w:t>
      </w:r>
      <w:r w:rsidR="00D60013" w:rsidRPr="00B845AD">
        <w:rPr>
          <w:rFonts w:ascii="Arial" w:hAnsi="Arial" w:cs="Arial"/>
          <w:b/>
          <w:bCs/>
          <w:sz w:val="28"/>
          <w:szCs w:val="28"/>
          <w:lang w:eastAsia="en-GB"/>
        </w:rPr>
        <w:t>Detention Gatekeeper</w:t>
      </w:r>
    </w:p>
    <w:p w14:paraId="64796CB9" w14:textId="214CDAF6" w:rsidR="00D60013" w:rsidRDefault="00D60013" w:rsidP="00213564">
      <w:pPr>
        <w:pStyle w:val="NoSpacing"/>
        <w:spacing w:line="276" w:lineRule="auto"/>
        <w:jc w:val="both"/>
        <w:rPr>
          <w:rFonts w:ascii="Arial" w:hAnsi="Arial" w:cs="Arial"/>
          <w:b/>
          <w:bCs/>
          <w:lang w:eastAsia="en-GB"/>
        </w:rPr>
      </w:pPr>
    </w:p>
    <w:p w14:paraId="0C9050C6" w14:textId="1690D4D9" w:rsidR="00D60013" w:rsidRDefault="00D60013" w:rsidP="00D60013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  <w:r w:rsidRPr="00D60013">
        <w:rPr>
          <w:rFonts w:ascii="Arial" w:hAnsi="Arial" w:cs="Arial"/>
          <w:lang w:eastAsia="en-GB"/>
        </w:rPr>
        <w:t>In September 2016, the Home Office created the Detention Gatekeeper (DGK) function</w:t>
      </w:r>
      <w:r w:rsidR="0006393D">
        <w:rPr>
          <w:rFonts w:ascii="Arial" w:hAnsi="Arial" w:cs="Arial"/>
          <w:lang w:eastAsia="en-GB"/>
        </w:rPr>
        <w:t>, in their own words, to</w:t>
      </w:r>
      <w:r>
        <w:rPr>
          <w:rFonts w:ascii="Arial" w:hAnsi="Arial" w:cs="Arial"/>
          <w:lang w:eastAsia="en-GB"/>
        </w:rPr>
        <w:t>:</w:t>
      </w:r>
    </w:p>
    <w:p w14:paraId="55661411" w14:textId="481CC570" w:rsidR="00D60013" w:rsidRDefault="00D60013" w:rsidP="00D60013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</w:p>
    <w:p w14:paraId="56A4F2AB" w14:textId="0457B0BF" w:rsidR="00D60013" w:rsidRPr="004041F0" w:rsidRDefault="00D60013" w:rsidP="004F29A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iCs/>
          <w:lang w:eastAsia="en-GB"/>
        </w:rPr>
      </w:pPr>
      <w:r w:rsidRPr="004041F0">
        <w:rPr>
          <w:rFonts w:ascii="Arial" w:hAnsi="Arial" w:cs="Arial"/>
          <w:i/>
          <w:iCs/>
          <w:lang w:eastAsia="en-GB"/>
        </w:rPr>
        <w:t>decide whether to authorise detention based on Immigration Enforcement strategic priorities; ensure the correct paperwork had been served on detained persons; and ensure that detention was lawful.</w:t>
      </w:r>
    </w:p>
    <w:p w14:paraId="663765DB" w14:textId="764B7E43" w:rsidR="00D60013" w:rsidRDefault="00D60013" w:rsidP="00D60013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</w:p>
    <w:p w14:paraId="12BA4D9B" w14:textId="1A2FEE6F" w:rsidR="006B4F17" w:rsidRPr="004F29A4" w:rsidRDefault="004F29A4" w:rsidP="00471273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 supported this development</w:t>
      </w:r>
      <w:r w:rsidR="004041F0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but had some concerns about this role:</w:t>
      </w:r>
    </w:p>
    <w:p w14:paraId="6CCBE97B" w14:textId="65C90413" w:rsidR="006B4F17" w:rsidRDefault="006B4F17" w:rsidP="00471273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</w:p>
    <w:p w14:paraId="6BAE386C" w14:textId="0D35A081" w:rsidR="006B4F17" w:rsidRDefault="006B4F17" w:rsidP="00471273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lack of </w:t>
      </w:r>
      <w:r w:rsidR="005156F3">
        <w:rPr>
          <w:rFonts w:ascii="Arial" w:hAnsi="Arial" w:cs="Arial"/>
          <w:lang w:eastAsia="en-GB"/>
        </w:rPr>
        <w:t xml:space="preserve">real </w:t>
      </w:r>
      <w:r>
        <w:rPr>
          <w:rFonts w:ascii="Arial" w:hAnsi="Arial" w:cs="Arial"/>
          <w:lang w:eastAsia="en-GB"/>
        </w:rPr>
        <w:t>independence</w:t>
      </w:r>
      <w:r w:rsidR="005156F3">
        <w:rPr>
          <w:rFonts w:ascii="Arial" w:hAnsi="Arial" w:cs="Arial"/>
          <w:lang w:eastAsia="en-GB"/>
        </w:rPr>
        <w:t xml:space="preserve"> from the Home Office</w:t>
      </w:r>
    </w:p>
    <w:p w14:paraId="05084D6C" w14:textId="033400C8" w:rsidR="0026185F" w:rsidRDefault="0006393D" w:rsidP="00471273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</w:t>
      </w:r>
      <w:r w:rsidR="0026185F">
        <w:rPr>
          <w:rFonts w:ascii="Arial" w:hAnsi="Arial" w:cs="Arial"/>
          <w:lang w:eastAsia="en-GB"/>
        </w:rPr>
        <w:t>o ability to speak directly with the individual concerned in each case</w:t>
      </w:r>
    </w:p>
    <w:p w14:paraId="5706F505" w14:textId="7343F331" w:rsidR="006B4F17" w:rsidRDefault="006B4F17" w:rsidP="00471273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lack of access to professional medical advice</w:t>
      </w:r>
    </w:p>
    <w:p w14:paraId="10D5889A" w14:textId="0476A16F" w:rsidR="0026185F" w:rsidRDefault="0026185F" w:rsidP="00471273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lack of access to advice from NGOs </w:t>
      </w:r>
    </w:p>
    <w:p w14:paraId="37A6F3AA" w14:textId="6AF0B0E8" w:rsidR="006B4F17" w:rsidRDefault="006B4F17" w:rsidP="00471273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multiplicity of referral forms</w:t>
      </w:r>
    </w:p>
    <w:p w14:paraId="2EBF953D" w14:textId="06CD20CD" w:rsidR="004F29A4" w:rsidRDefault="004F29A4" w:rsidP="004F29A4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</w:p>
    <w:p w14:paraId="06701192" w14:textId="1600797F" w:rsidR="004F29A4" w:rsidRDefault="004F29A4" w:rsidP="004F29A4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make this role effective, we think that the Gatekeeper should have:</w:t>
      </w:r>
    </w:p>
    <w:p w14:paraId="22689B3F" w14:textId="22188BDE" w:rsidR="004F29A4" w:rsidRDefault="004F29A4" w:rsidP="004F29A4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</w:p>
    <w:p w14:paraId="67870C23" w14:textId="7C5C0730" w:rsidR="004F29A4" w:rsidRPr="005156F3" w:rsidRDefault="004F29A4" w:rsidP="004F29A4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>greater operational independence from the Home Office</w:t>
      </w:r>
    </w:p>
    <w:p w14:paraId="42E996B9" w14:textId="173E0F3F" w:rsidR="004F29A4" w:rsidRPr="005156F3" w:rsidRDefault="004F29A4" w:rsidP="004F29A4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>direct access to the individual person involved in each case</w:t>
      </w:r>
    </w:p>
    <w:p w14:paraId="1648024A" w14:textId="0CFBDA1E" w:rsidR="004F29A4" w:rsidRPr="005156F3" w:rsidRDefault="004F29A4" w:rsidP="004F29A4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>access to independent medical advice</w:t>
      </w:r>
    </w:p>
    <w:p w14:paraId="638C8482" w14:textId="3BDADCA9" w:rsidR="004F29A4" w:rsidRPr="004041F0" w:rsidRDefault="004F29A4" w:rsidP="004F29A4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>access to advice from NGOs working with the individual</w:t>
      </w:r>
    </w:p>
    <w:p w14:paraId="56500C0C" w14:textId="4BF76FF9" w:rsidR="004041F0" w:rsidRPr="005156F3" w:rsidRDefault="004041F0" w:rsidP="004F29A4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>one common referral form</w:t>
      </w:r>
    </w:p>
    <w:p w14:paraId="261138E4" w14:textId="7534262F" w:rsidR="004F29A4" w:rsidRDefault="004F29A4" w:rsidP="004F29A4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>and that there should be greater transparency over decision making</w:t>
      </w:r>
    </w:p>
    <w:p w14:paraId="22BA7E2B" w14:textId="77777777" w:rsidR="004F29A4" w:rsidRDefault="004F29A4" w:rsidP="004F29A4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</w:p>
    <w:p w14:paraId="3F02CA9A" w14:textId="77777777" w:rsidR="006B4F17" w:rsidRPr="00D60013" w:rsidRDefault="006B4F17" w:rsidP="00471273">
      <w:pPr>
        <w:pStyle w:val="NoSpacing"/>
        <w:spacing w:line="276" w:lineRule="auto"/>
        <w:ind w:left="720"/>
        <w:jc w:val="both"/>
        <w:rPr>
          <w:rFonts w:ascii="Arial" w:hAnsi="Arial" w:cs="Arial"/>
          <w:lang w:eastAsia="en-GB"/>
        </w:rPr>
      </w:pPr>
    </w:p>
    <w:p w14:paraId="41B87713" w14:textId="5CBCEF2A" w:rsidR="00D60013" w:rsidRDefault="00D60013" w:rsidP="00471273">
      <w:pPr>
        <w:pStyle w:val="NoSpacing"/>
        <w:spacing w:line="276" w:lineRule="auto"/>
        <w:jc w:val="both"/>
        <w:rPr>
          <w:rFonts w:ascii="Arial" w:hAnsi="Arial" w:cs="Arial"/>
          <w:b/>
          <w:bCs/>
          <w:lang w:eastAsia="en-GB"/>
        </w:rPr>
      </w:pPr>
    </w:p>
    <w:p w14:paraId="5730013D" w14:textId="78D5CF5E" w:rsidR="00D60013" w:rsidRPr="00B845AD" w:rsidRDefault="00B845AD" w:rsidP="00213564">
      <w:pPr>
        <w:pStyle w:val="NoSpacing"/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 xml:space="preserve">2. </w:t>
      </w:r>
      <w:r w:rsidR="00D60013" w:rsidRPr="00B845AD">
        <w:rPr>
          <w:rFonts w:ascii="Arial" w:hAnsi="Arial" w:cs="Arial"/>
          <w:b/>
          <w:bCs/>
          <w:sz w:val="28"/>
          <w:szCs w:val="28"/>
          <w:lang w:eastAsia="en-GB"/>
        </w:rPr>
        <w:t>Case Progression Panels</w:t>
      </w:r>
    </w:p>
    <w:p w14:paraId="75B4B650" w14:textId="77777777" w:rsidR="00213564" w:rsidRDefault="00213564" w:rsidP="007005BC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</w:p>
    <w:p w14:paraId="03748B56" w14:textId="280B030E" w:rsidR="006B4F17" w:rsidRDefault="006B4F17" w:rsidP="006B4F17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  <w:r w:rsidRPr="006B4F17">
        <w:rPr>
          <w:rFonts w:ascii="Arial" w:hAnsi="Arial" w:cs="Arial"/>
          <w:lang w:eastAsia="en-GB"/>
        </w:rPr>
        <w:t xml:space="preserve">According to the </w:t>
      </w:r>
      <w:proofErr w:type="gramStart"/>
      <w:r w:rsidRPr="00FF79FA">
        <w:rPr>
          <w:rFonts w:ascii="Arial" w:hAnsi="Arial" w:cs="Arial"/>
          <w:b/>
          <w:bCs/>
          <w:lang w:eastAsia="en-GB"/>
        </w:rPr>
        <w:t>Immigration Minister</w:t>
      </w:r>
      <w:proofErr w:type="gramEnd"/>
      <w:r w:rsidRPr="006B4F17">
        <w:rPr>
          <w:rFonts w:ascii="Arial" w:hAnsi="Arial" w:cs="Arial"/>
          <w:lang w:eastAsia="en-GB"/>
        </w:rPr>
        <w:t xml:space="preserve">, the </w:t>
      </w:r>
      <w:r w:rsidR="004041F0">
        <w:rPr>
          <w:rFonts w:ascii="Arial" w:hAnsi="Arial" w:cs="Arial"/>
          <w:lang w:eastAsia="en-GB"/>
        </w:rPr>
        <w:t>panels</w:t>
      </w:r>
      <w:r w:rsidRPr="006B4F17">
        <w:rPr>
          <w:rFonts w:ascii="Arial" w:hAnsi="Arial" w:cs="Arial"/>
          <w:lang w:eastAsia="en-GB"/>
        </w:rPr>
        <w:t xml:space="preserve"> were introduced “</w:t>
      </w:r>
      <w:r w:rsidRPr="004041F0">
        <w:rPr>
          <w:rFonts w:ascii="Arial" w:hAnsi="Arial" w:cs="Arial"/>
          <w:i/>
          <w:iCs/>
          <w:lang w:eastAsia="en-GB"/>
        </w:rPr>
        <w:t>to provide an internally independent review of the suitability for continued detention and the progression of case actions</w:t>
      </w:r>
      <w:r w:rsidRPr="006B4F17">
        <w:rPr>
          <w:rFonts w:ascii="Arial" w:hAnsi="Arial" w:cs="Arial"/>
          <w:lang w:eastAsia="en-GB"/>
        </w:rPr>
        <w:t xml:space="preserve">”. </w:t>
      </w:r>
    </w:p>
    <w:p w14:paraId="6CCC67AF" w14:textId="78B285FA" w:rsidR="005D5E6F" w:rsidRDefault="005D5E6F" w:rsidP="006B4F17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</w:p>
    <w:p w14:paraId="6868736E" w14:textId="045A3234" w:rsidR="004041F0" w:rsidRPr="004F29A4" w:rsidRDefault="004041F0" w:rsidP="004041F0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Again, we supported this development but had some concerns about these panels:</w:t>
      </w:r>
    </w:p>
    <w:p w14:paraId="69B8C4D4" w14:textId="0A212E69" w:rsidR="005D5E6F" w:rsidRDefault="005D5E6F" w:rsidP="005D5E6F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</w:p>
    <w:p w14:paraId="465CAB04" w14:textId="22C36530" w:rsidR="005D5E6F" w:rsidRDefault="005D5E6F" w:rsidP="005D5E6F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Lack of independence</w:t>
      </w:r>
    </w:p>
    <w:p w14:paraId="3D0D9BD5" w14:textId="3B664753" w:rsidR="005D5E6F" w:rsidRDefault="005D5E6F" w:rsidP="005D5E6F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Decisions are routinely over-ruled</w:t>
      </w:r>
    </w:p>
    <w:p w14:paraId="5DCB1A03" w14:textId="17C3AA48" w:rsidR="00C543EA" w:rsidRDefault="00C543EA" w:rsidP="005D5E6F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Poor monitoring processes</w:t>
      </w:r>
    </w:p>
    <w:p w14:paraId="63285C7A" w14:textId="5F8551A0" w:rsidR="00471273" w:rsidRDefault="00471273" w:rsidP="006B4F17">
      <w:pPr>
        <w:pStyle w:val="NoSpacing"/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189958A5" w14:textId="304C90C2" w:rsidR="004041F0" w:rsidRPr="004041F0" w:rsidRDefault="004041F0" w:rsidP="006B4F17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make these panels effective, we think that they should have:</w:t>
      </w:r>
    </w:p>
    <w:p w14:paraId="35529F42" w14:textId="77777777" w:rsidR="004041F0" w:rsidRDefault="004041F0" w:rsidP="006B4F17">
      <w:pPr>
        <w:pStyle w:val="NoSpacing"/>
        <w:spacing w:line="276" w:lineRule="auto"/>
        <w:jc w:val="both"/>
        <w:rPr>
          <w:rFonts w:ascii="Arial" w:hAnsi="Arial" w:cs="Arial"/>
          <w:b/>
          <w:bCs/>
          <w:lang w:eastAsia="en-GB"/>
        </w:rPr>
      </w:pPr>
    </w:p>
    <w:p w14:paraId="54EFCFC3" w14:textId="41977606" w:rsidR="00414C05" w:rsidRDefault="00B845AD" w:rsidP="005156F3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greater independent involvement in the CPPs and transparency in the nature of their recruitment</w:t>
      </w:r>
    </w:p>
    <w:p w14:paraId="0485D5DA" w14:textId="5CBE86E5" w:rsidR="00B845AD" w:rsidRDefault="00B845AD" w:rsidP="005156F3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more transparency to explain why decisions are over-ruled by the Home Office</w:t>
      </w:r>
    </w:p>
    <w:p w14:paraId="415ABE66" w14:textId="3A2B75A2" w:rsidR="00B845AD" w:rsidRDefault="00B845AD" w:rsidP="005156F3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improved monitoring of the process with regular reports of the work from the CPP</w:t>
      </w:r>
      <w:r w:rsidR="00FF79FA">
        <w:rPr>
          <w:rFonts w:ascii="Arial" w:hAnsi="Arial" w:cs="Arial"/>
          <w:lang w:eastAsia="en-GB"/>
        </w:rPr>
        <w:t>s</w:t>
      </w:r>
    </w:p>
    <w:p w14:paraId="066E47F0" w14:textId="18E92099" w:rsidR="000F5874" w:rsidRDefault="000F5874" w:rsidP="000F5874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</w:p>
    <w:p w14:paraId="429446C1" w14:textId="77777777" w:rsidR="00B845AD" w:rsidRDefault="00B845AD" w:rsidP="000F5874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</w:p>
    <w:p w14:paraId="24D74F05" w14:textId="65C28142" w:rsidR="000F5874" w:rsidRPr="000F5874" w:rsidRDefault="000F5874" w:rsidP="000F5874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ENDS</w:t>
      </w:r>
    </w:p>
    <w:p w14:paraId="7443B2FD" w14:textId="643687E6" w:rsidR="007005BC" w:rsidRDefault="007005BC" w:rsidP="007005BC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</w:p>
    <w:p w14:paraId="1B08634A" w14:textId="77777777" w:rsidR="007005BC" w:rsidRPr="007005BC" w:rsidRDefault="007005BC" w:rsidP="007005BC">
      <w:pPr>
        <w:pStyle w:val="NoSpacing"/>
        <w:spacing w:line="276" w:lineRule="auto"/>
        <w:jc w:val="both"/>
        <w:rPr>
          <w:rFonts w:ascii="Arial" w:hAnsi="Arial" w:cs="Arial"/>
          <w:lang w:eastAsia="en-GB"/>
        </w:rPr>
      </w:pPr>
    </w:p>
    <w:sectPr w:rsidR="007005BC" w:rsidRPr="007005BC" w:rsidSect="00600A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73D"/>
    <w:multiLevelType w:val="multilevel"/>
    <w:tmpl w:val="D2D012B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13C91"/>
    <w:multiLevelType w:val="multilevel"/>
    <w:tmpl w:val="9B70BF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54F32"/>
    <w:multiLevelType w:val="multilevel"/>
    <w:tmpl w:val="D1DA4C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641AB"/>
    <w:multiLevelType w:val="multilevel"/>
    <w:tmpl w:val="F900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715CE7"/>
    <w:multiLevelType w:val="multilevel"/>
    <w:tmpl w:val="AABC7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15FE3"/>
    <w:multiLevelType w:val="multilevel"/>
    <w:tmpl w:val="833637F4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5262B"/>
    <w:multiLevelType w:val="hybridMultilevel"/>
    <w:tmpl w:val="FF24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A193A"/>
    <w:multiLevelType w:val="multilevel"/>
    <w:tmpl w:val="FAFE9C8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05651C"/>
    <w:multiLevelType w:val="multilevel"/>
    <w:tmpl w:val="5F1AF352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53651"/>
    <w:multiLevelType w:val="multilevel"/>
    <w:tmpl w:val="E14A7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50477B"/>
    <w:multiLevelType w:val="multilevel"/>
    <w:tmpl w:val="EF60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182C02"/>
    <w:multiLevelType w:val="hybridMultilevel"/>
    <w:tmpl w:val="F588E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E5EFA"/>
    <w:multiLevelType w:val="hybridMultilevel"/>
    <w:tmpl w:val="2B6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C670A"/>
    <w:multiLevelType w:val="hybridMultilevel"/>
    <w:tmpl w:val="DE8C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854278">
    <w:abstractNumId w:val="9"/>
  </w:num>
  <w:num w:numId="2" w16cid:durableId="1775396514">
    <w:abstractNumId w:val="3"/>
  </w:num>
  <w:num w:numId="3" w16cid:durableId="34427919">
    <w:abstractNumId w:val="12"/>
  </w:num>
  <w:num w:numId="4" w16cid:durableId="1104567910">
    <w:abstractNumId w:val="10"/>
  </w:num>
  <w:num w:numId="5" w16cid:durableId="106898322">
    <w:abstractNumId w:val="1"/>
  </w:num>
  <w:num w:numId="6" w16cid:durableId="335546905">
    <w:abstractNumId w:val="0"/>
  </w:num>
  <w:num w:numId="7" w16cid:durableId="1239559700">
    <w:abstractNumId w:val="5"/>
  </w:num>
  <w:num w:numId="8" w16cid:durableId="2144956316">
    <w:abstractNumId w:val="11"/>
  </w:num>
  <w:num w:numId="9" w16cid:durableId="1677726575">
    <w:abstractNumId w:val="8"/>
  </w:num>
  <w:num w:numId="10" w16cid:durableId="1028021499">
    <w:abstractNumId w:val="6"/>
  </w:num>
  <w:num w:numId="11" w16cid:durableId="2009940472">
    <w:abstractNumId w:val="7"/>
  </w:num>
  <w:num w:numId="12" w16cid:durableId="348456605">
    <w:abstractNumId w:val="4"/>
  </w:num>
  <w:num w:numId="13" w16cid:durableId="1525366727">
    <w:abstractNumId w:val="2"/>
  </w:num>
  <w:num w:numId="14" w16cid:durableId="3319588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76"/>
    <w:rsid w:val="0006393D"/>
    <w:rsid w:val="000D2F7B"/>
    <w:rsid w:val="000F5874"/>
    <w:rsid w:val="00213564"/>
    <w:rsid w:val="0026185F"/>
    <w:rsid w:val="00302841"/>
    <w:rsid w:val="004041F0"/>
    <w:rsid w:val="00414C05"/>
    <w:rsid w:val="00471273"/>
    <w:rsid w:val="004F29A4"/>
    <w:rsid w:val="005156F3"/>
    <w:rsid w:val="0051713A"/>
    <w:rsid w:val="0054263B"/>
    <w:rsid w:val="005D5E6F"/>
    <w:rsid w:val="00600A22"/>
    <w:rsid w:val="006842A8"/>
    <w:rsid w:val="006B4F17"/>
    <w:rsid w:val="006B583B"/>
    <w:rsid w:val="007005BC"/>
    <w:rsid w:val="0078174A"/>
    <w:rsid w:val="00796161"/>
    <w:rsid w:val="007976BE"/>
    <w:rsid w:val="008253C3"/>
    <w:rsid w:val="0091049D"/>
    <w:rsid w:val="00A55DBC"/>
    <w:rsid w:val="00A65D82"/>
    <w:rsid w:val="00B845AD"/>
    <w:rsid w:val="00BA5856"/>
    <w:rsid w:val="00C543EA"/>
    <w:rsid w:val="00CA4DBC"/>
    <w:rsid w:val="00D60013"/>
    <w:rsid w:val="00D737A4"/>
    <w:rsid w:val="00E54A76"/>
    <w:rsid w:val="00ED6CE7"/>
    <w:rsid w:val="00F12F96"/>
    <w:rsid w:val="00FA1F59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2C7E"/>
  <w15:chartTrackingRefBased/>
  <w15:docId w15:val="{099C3B08-F99D-0342-A00B-2CA5FAC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5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5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005BC"/>
  </w:style>
  <w:style w:type="paragraph" w:styleId="NormalWeb">
    <w:name w:val="Normal (Web)"/>
    <w:basedOn w:val="Normal"/>
    <w:uiPriority w:val="99"/>
    <w:semiHidden/>
    <w:unhideWhenUsed/>
    <w:rsid w:val="005156F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Ellis</dc:creator>
  <cp:keywords/>
  <dc:description/>
  <cp:lastModifiedBy>Jonathan Ellis</cp:lastModifiedBy>
  <cp:revision>2</cp:revision>
  <dcterms:created xsi:type="dcterms:W3CDTF">2022-10-28T08:07:00Z</dcterms:created>
  <dcterms:modified xsi:type="dcterms:W3CDTF">2022-10-28T08:07:00Z</dcterms:modified>
</cp:coreProperties>
</file>